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PENILAIAN KINERJA PUSKESMAS</w:t>
      </w: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TAHUN 2022</w:t>
      </w:r>
    </w:p>
    <w:p>
      <w:pPr>
        <w:spacing w:after="0" w:line="360" w:lineRule="auto"/>
        <w:rPr>
          <w:rFonts w:eastAsia="Times New Roman" w:cs="Times New Roman" w:asciiTheme="majorHAnsi" w:hAnsiTheme="majorHAnsi"/>
          <w:sz w:val="24"/>
          <w:szCs w:val="24"/>
        </w:rPr>
      </w:pPr>
    </w:p>
    <w:p>
      <w:pPr>
        <w:pStyle w:val="12"/>
        <w:numPr>
          <w:ilvl w:val="0"/>
          <w:numId w:val="1"/>
        </w:numPr>
        <w:spacing w:after="0" w:line="360" w:lineRule="auto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TARGET DAN CAKUPAN UPTD PUSKESMAS SUNGAI KAPIH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482"/>
        <w:gridCol w:w="5161"/>
        <w:gridCol w:w="1300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hanging="359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JENIS KEGIATAN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CAKUPAN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ADMINISTRASI DAN MANAJEMEN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MANAJEMEN UMUM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Rencana 5 (lima) tahunan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RUK Tahun (N+1)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RPK/POA bulanan/tahunan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Lokakarya Mini bulanan (lokmin bulanan)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       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Lokakarya Mini tribulanan  (lokmin tribulanan)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Survei Keluarga Sehat (12 Indikator Keluarga Sehat)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Survei Mawas Diri (SMD)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Pertemuan dengan masyarakat dalam rangka pemberdayaan Individu, Keluarga dan Kelompok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SK Tim mutu  dan uraian tugas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Rencana program mutu dan keselamatan pasien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Pengelolaan risiko di Puskesmas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Pengelolaan Pengaduan Pelanggan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Survei Kepuasan Masyarakat dan Survei Kepuasan Pasien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Audit internal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Rapat Tinjauan Manajemen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Penyajian/updating  data dan informasi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Profil kesehatan Puskesmas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extAlignment w:val="top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MANAJEMEN PERALATAN DAN SARANA PRASARANA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Updating data Aplikasi Sarana, Prasarana dan Alat Kesehatan (ASPAK)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Analisis data ASPAK dan rencana tindak lanjut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Pemeliharaan prasarana Puskesmas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Kalibrasi  alat kesehatan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Perbaikan dan pemeliharaan peralatan medis dan non medis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44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MANAJEMEN KEUANGAN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Data realisasi keuangan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Data keuangan dan laporan pertanggung jawaban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MANAJEMEN SUMBER DAYA MANUSIA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Rencana Kebutuhan Tenaga (Renbut)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SK, uraian tugas pokok (tanggung jawab dan wewenang ) serta uraian tugas integrasi /tambahan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Data kepegawaian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MANAJEMEN PELAYANAN KEFARMASIAN (PENGELOLAAN OBAT, VAKSIN, REAGEN DAN BAHAN HABIS PAKAI)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SOP Pelayanan Kefarmasian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Sarana Prasarana Pelayanan Kefarmasian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Data dan informasi Pelayanan Kefarmasian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MANAJEMEN PENGELOLAAN DATA DAN INFORMASI DI PUSKESMAS (PUSKESMAS SEBAGAI BANK DATA)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Pencapaian KBK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BBB59" w:themeFill="accent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BBB59" w:themeFill="accent3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BBB59" w:themeFill="accent3"/>
            <w:vAlign w:val="center"/>
          </w:tcPr>
          <w:p>
            <w:pP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Rata-rata Kinerja Administrasi dan Manajemen</w:t>
            </w:r>
          </w:p>
          <w:p>
            <w:pPr>
              <w:spacing w:after="0" w:line="240" w:lineRule="auto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BBB59" w:themeFill="accent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BBB59" w:themeFill="accent3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  <w:t>7,45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MUTU PELAYANAN PUSKESMAS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b/>
                <w:color w:val="000000"/>
                <w:sz w:val="24"/>
                <w:szCs w:val="24"/>
                <w:lang w:eastAsia="zh-CN"/>
              </w:rPr>
              <w:t>Kinerja Sasaran Keselamatan Pasien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1. Identifikasi Pasien dengan benar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2. Komunikasi efektif dalam pelayanan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3. Keamanan obat yang perlu diwaspadai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4. Memastikan lokasi pembedahan yang benar, prosedur yang benar, pembedahan pada pasien yang benar (penetapan di puskesmas jenis tindakan yang akan dimonitor)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5. Mengurangi risiko infeksi akibat perawatan kesehatan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6. Mengurangi risiko cedera pasien akibat terjatuh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Cambria" w:cs="Cambria" w:asciiTheme="majorHAnsi" w:hAnsiTheme="majorHAns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b/>
                <w:color w:val="000000"/>
                <w:sz w:val="24"/>
                <w:szCs w:val="24"/>
                <w:lang w:eastAsia="zh-CN"/>
              </w:rPr>
              <w:t>KINERJA PPI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28,4%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Kewaspadaan standar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Kewaspadaan berdasarkan transmisi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Penerapan PPI terkait pelayanan kesehatan dengan Bundles Hais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Surveilans PPI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top"/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Audit dan monitroing berkala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top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KINERJA MUTU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37,1%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UPAYA KESEHATAN MASYARAKAT ESENSIAL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PROMOSI KESEHATAN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78%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75,6%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Tatanan sehat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78%</w:t>
            </w:r>
          </w:p>
        </w:tc>
      </w:tr>
      <w:tr>
        <w:trPr>
          <w:trHeight w:val="42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Intervensi/Penyuluhan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Pengembangan UKBM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Pengembangan Desa Siaga Aktif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Promosi Kesehatan dan Pemberdayaan Masyarakat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360" w:lineRule="auto"/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sz w:val="24"/>
                <w:szCs w:val="24"/>
              </w:rPr>
              <w:t>KESEHATAN LINGKUNGAN                                                61%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66,6%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Penyehatan air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Penyehatan Makanan dan Minuman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Penyehatan Perumahan dan Sanitasi Dasar 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 xml:space="preserve">Pembinaan Tempat-Tempat Umum ( TTU )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Yankesling (Klinik Sanitasi)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0%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Sanitasi Total Berbasis Masyarakat ( STBM ) = Pemberdayaan Masyarakat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46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PENCEGAHAN DAN PENGENDALIAN PENYAKIT       91%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83,7%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Penyakit menular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93,6%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</w:rPr>
              <w:t>Penyakit tidak menular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91,7%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Cambria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Cambria"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Cambria" w:asciiTheme="majorHAnsi" w:hAnsiTheme="majorHAnsi"/>
                <w:sz w:val="24"/>
                <w:szCs w:val="24"/>
              </w:rPr>
            </w:pPr>
            <w:r>
              <w:rPr>
                <w:rFonts w:cs="Cambria" w:asciiTheme="majorHAnsi" w:hAnsiTheme="majorHAnsi"/>
                <w:sz w:val="24"/>
                <w:szCs w:val="24"/>
              </w:rPr>
              <w:t>KIA, KB dan KES IBU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88,5%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93,6%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Cambria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cs="Cambria" w:asciiTheme="majorHAnsi" w:hAnsiTheme="majorHAnsi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PERBAIKAN GIZI MASYARAKAT                                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Pelayanan gizi masyarakat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Penanggulangan Gangguan Gizi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UPAYA KESEHATAN PERKESMAS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Cakupan individu rentan yang di bina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Cakupan Keluarga rentan yang di bina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Cakupan pembinaan kelompok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highlight w:val="darkGree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  <w:highlight w:val="darkGreen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  <w:t xml:space="preserve">KINERJA UKM ESENSIAL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  <w:t>84,6%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</w:pPr>
            <w:r>
              <w:rPr>
                <w:rFonts w:eastAsia="Times New Roman" w:cs="Times New Roman" w:asciiTheme="majorHAnsi" w:hAnsiTheme="majorHAnsi"/>
                <w:sz w:val="24"/>
                <w:szCs w:val="24"/>
                <w:highlight w:val="darkGreen"/>
              </w:rPr>
              <w:t>65,18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UPAYA KESEHATAN MASYARAKAT PENGEMBANGAN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  86%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textAlignment w:val="bottom"/>
              <w:rPr>
                <w:rFonts w:eastAsia="Times New Roman" w:cs="Cambria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Upaya Kesehatan olahraga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B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shd w:val="clear" w:color="auto" w:fill="FFFFFF" w:themeFill="background1"/>
              <w:textAlignment w:val="bottom"/>
              <w:rPr>
                <w:rFonts w:eastAsia="Times New Roman" w:cs="Cambria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>Upaya Kesehatan Batra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C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textAlignment w:val="bottom"/>
              <w:rPr>
                <w:rFonts w:eastAsia="Times New Roman" w:cs="Cambria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SimSun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Kesehatan Kerja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UPAYA KESEHATAN PERSEORANGAN                           95%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b/>
                <w:bCs/>
                <w:color w:val="000000"/>
                <w:sz w:val="24"/>
                <w:szCs w:val="24"/>
              </w:rPr>
              <w:t>55,25%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textAlignment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Kelengkapan pengisian rekam medik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80%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textAlignment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Cakupan pemakaian obat generik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Pelaksanaan PME 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61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 w:color="auto" w:fill="FFFFFF" w:themeFill="background1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 xml:space="preserve">Pelaksanaan PMI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jc w:val="center"/>
              <w:textAlignment w:val="top"/>
              <w:rPr>
                <w:rFonts w:eastAsia="Times New Roman" w:cs="Times New Roman"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eastAsia="Cambria" w:cs="Cambria" w:asciiTheme="majorHAnsi" w:hAnsiTheme="majorHAnsi"/>
                <w:color w:val="000000"/>
                <w:sz w:val="24"/>
                <w:szCs w:val="24"/>
                <w:lang w:eastAsia="zh-CN"/>
              </w:rPr>
              <w:t>75%</w:t>
            </w:r>
          </w:p>
        </w:tc>
      </w:tr>
    </w:tbl>
    <w:p>
      <w:pPr>
        <w:pStyle w:val="12"/>
        <w:shd w:val="clear" w:color="auto" w:fill="FFFFFF" w:themeFill="background1"/>
        <w:spacing w:after="0" w:line="360" w:lineRule="auto"/>
        <w:ind w:left="426"/>
        <w:jc w:val="both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rPr>
          <w:rFonts w:eastAsia="Times New Roman" w:cs="Arial" w:asciiTheme="majorHAnsi" w:hAnsiTheme="majorHAnsi"/>
          <w:color w:val="000000"/>
          <w:sz w:val="24"/>
          <w:szCs w:val="24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</w:rPr>
        <w:br w:type="page"/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after="0" w:line="360" w:lineRule="auto"/>
        <w:ind w:left="426" w:hanging="426"/>
        <w:jc w:val="both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PENYAJIAN KINERJA UPT PUSKESMAS SUNGAI KAPIH DENGAN GRAFIK LABA-LABA</w:t>
      </w:r>
    </w:p>
    <w:p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 w:asciiTheme="majorHAnsi" w:hAnsiTheme="majorHAnsi"/>
          <w:b/>
          <w:color w:val="000000"/>
          <w:sz w:val="24"/>
          <w:szCs w:val="24"/>
        </w:rPr>
      </w:pPr>
      <w:r>
        <w:rPr>
          <w:rFonts w:eastAsia="Times New Roman" w:cs="Times New Roman" w:asciiTheme="majorHAnsi" w:hAnsiTheme="majorHAnsi"/>
          <w:b/>
          <w:color w:val="000000"/>
          <w:sz w:val="24"/>
          <w:szCs w:val="24"/>
        </w:rPr>
        <w:t>CAKUPAN MANAJEMEN MUTU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</w:rPr>
        <w:drawing>
          <wp:inline distT="0" distB="0" distL="0" distR="0">
            <wp:extent cx="5252085" cy="3063875"/>
            <wp:effectExtent l="0" t="0" r="24765" b="222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</w:rPr>
      </w:pPr>
      <w:r>
        <w:rPr>
          <w:rFonts w:eastAsia="Times New Roman" w:cs="Arial" w:asciiTheme="majorHAnsi" w:hAnsiTheme="majorHAnsi"/>
          <w:color w:val="000000"/>
        </w:rPr>
        <w:t>Grafik 1. Grafik laba-laba cakupan manajemen mutu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CAKUPAN KEGIATAN ESSENSIAL DAN PENGEMBANGAN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</w:rPr>
        <w:drawing>
          <wp:inline distT="0" distB="0" distL="0" distR="0">
            <wp:extent cx="5252085" cy="3063875"/>
            <wp:effectExtent l="0" t="0" r="24765" b="222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</w:rPr>
      </w:pPr>
      <w:r>
        <w:rPr>
          <w:rFonts w:eastAsia="Times New Roman" w:cs="Arial" w:asciiTheme="majorHAnsi" w:hAnsiTheme="majorHAnsi"/>
          <w:color w:val="000000"/>
        </w:rPr>
        <w:t>Grafik 2. Grafik laba-laba cakupan kegiatan essensial dan pengembangan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rPr>
          <w:rFonts w:eastAsia="Times New Roman" w:cs="Times New Roman" w:asciiTheme="majorHAnsi" w:hAnsiTheme="majorHAnsi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CAKUPAN MUTU PELAYANAN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</w:rPr>
        <w:drawing>
          <wp:inline distT="0" distB="0" distL="0" distR="0">
            <wp:extent cx="5252085" cy="3063875"/>
            <wp:effectExtent l="0" t="0" r="24765" b="222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360" w:lineRule="auto"/>
        <w:ind w:left="414" w:firstLine="720"/>
        <w:contextualSpacing/>
        <w:jc w:val="both"/>
        <w:rPr>
          <w:rFonts w:eastAsia="Times New Roman" w:cs="Arial" w:asciiTheme="majorHAnsi" w:hAnsiTheme="majorHAnsi"/>
          <w:color w:val="000000"/>
        </w:rPr>
      </w:pPr>
      <w:r>
        <w:rPr>
          <w:rFonts w:eastAsia="Times New Roman" w:cs="Arial" w:asciiTheme="majorHAnsi" w:hAnsiTheme="majorHAnsi"/>
          <w:color w:val="000000"/>
        </w:rPr>
        <w:t>Grafik 3. Grafik laba-laba cakupan mutu pelayanan</w:t>
      </w:r>
    </w:p>
    <w:p>
      <w:pPr>
        <w:rPr>
          <w:rFonts w:eastAsia="Times New Roman" w:cs="Arial" w:asciiTheme="majorHAnsi" w:hAnsiTheme="majorHAnsi"/>
          <w:color w:val="000000"/>
          <w:sz w:val="24"/>
          <w:szCs w:val="24"/>
        </w:rPr>
      </w:pPr>
    </w:p>
    <w:p>
      <w:pPr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br w:type="page"/>
      </w: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VARIABEL HASIL PENILAIAN UPT PUSKESMAS SUNGAI KAPIH</w:t>
      </w: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TAHUN 2022</w:t>
      </w: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 w:asciiTheme="majorHAnsi" w:hAnsiTheme="majorHAnsi"/>
          <w:b/>
          <w:bCs/>
          <w:sz w:val="24"/>
          <w:szCs w:val="24"/>
        </w:rPr>
      </w:pPr>
    </w:p>
    <w:p>
      <w:pPr>
        <w:pStyle w:val="12"/>
        <w:numPr>
          <w:ilvl w:val="2"/>
          <w:numId w:val="3"/>
        </w:numPr>
        <w:spacing w:after="0" w:line="360" w:lineRule="auto"/>
        <w:ind w:left="567" w:hanging="567"/>
        <w:jc w:val="both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CAKUPAN PELAYANAN KESEHATAN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: 65,18%</w:t>
      </w:r>
    </w:p>
    <w:p>
      <w:pPr>
        <w:pStyle w:val="12"/>
        <w:numPr>
          <w:ilvl w:val="3"/>
          <w:numId w:val="4"/>
        </w:num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Upaya Kesehatan Wajib/ Essensial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65, 18</w:t>
      </w:r>
    </w:p>
    <w:p>
      <w:pPr>
        <w:pStyle w:val="12"/>
        <w:numPr>
          <w:ilvl w:val="3"/>
          <w:numId w:val="4"/>
        </w:num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Upaya Kesehatan Pengembangan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0%</w:t>
      </w:r>
    </w:p>
    <w:p>
      <w:pPr>
        <w:spacing w:after="0" w:line="360" w:lineRule="auto"/>
        <w:ind w:left="567" w:hanging="567"/>
        <w:jc w:val="both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B.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MANAJEMEN PUSKESMAS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: 7,45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1.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Umum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6,7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2.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Peralatan &amp; Sarana Prasarana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10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3.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Keuangan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10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4.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Sumber Daya Manusia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8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5.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Kefarmasian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10</w:t>
      </w:r>
    </w:p>
    <w:p>
      <w:pPr>
        <w:spacing w:after="0" w:line="360" w:lineRule="auto"/>
        <w:ind w:left="1134" w:hanging="425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6.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Manajemen Pengelolaan Data dan Informasi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10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C.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MUTU PELAYANAN PUSKESMAS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 xml:space="preserve">: 43% 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1.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Kinerja Sasaran Keselamatan Pasien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:45,8 %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2.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Kinerja PPI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28,4%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3.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Kinerja UKP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: 55%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RESUME</w:t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:</w:t>
      </w:r>
    </w:p>
    <w:p>
      <w:pPr>
        <w:pStyle w:val="12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Cakupan Pelayanan Kesehatan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= 65,18 %       (84,6%)</w:t>
      </w:r>
    </w:p>
    <w:p>
      <w:pPr>
        <w:pStyle w:val="12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Manajemen Puskesmas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= 7,45%          (10)</w:t>
      </w:r>
    </w:p>
    <w:p>
      <w:pPr>
        <w:pStyle w:val="12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>Mutu Pelayanan Puskesmas</w:t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r>
        <w:rPr>
          <w:rFonts w:eastAsia="Times New Roman" w:cs="Times New Roman" w:asciiTheme="majorHAnsi" w:hAnsiTheme="majorHAnsi"/>
          <w:bCs/>
          <w:sz w:val="24"/>
          <w:szCs w:val="24"/>
        </w:rPr>
        <w:t>= 43%                    (85%)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</w:p>
    <w:p>
      <w:pPr>
        <w:pStyle w:val="12"/>
        <w:spacing w:after="0" w:line="360" w:lineRule="auto"/>
        <w:ind w:left="567" w:hanging="567"/>
        <w:jc w:val="both"/>
        <w:rPr>
          <w:rFonts w:eastAsia="Times New Roman" w:cs="Times New Roman" w:asciiTheme="majorHAnsi" w:hAnsiTheme="majorHAnsi"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Cs/>
          <w:sz w:val="24"/>
          <w:szCs w:val="24"/>
        </w:rPr>
        <w:tab/>
      </w:r>
      <w:bookmarkStart w:id="0" w:name="_GoBack"/>
      <w:bookmarkEnd w:id="0"/>
    </w:p>
    <w:p>
      <w:pPr>
        <w:rPr>
          <w:rFonts w:eastAsia="Times New Roman" w:cs="Arial" w:asciiTheme="majorHAnsi" w:hAnsiTheme="majorHAnsi"/>
          <w:color w:val="000000"/>
          <w:sz w:val="24"/>
          <w:szCs w:val="24"/>
        </w:rPr>
      </w:pPr>
      <w:r>
        <w:rPr>
          <w:rFonts w:eastAsia="Times New Roman" w:cs="Arial" w:asciiTheme="majorHAnsi" w:hAnsiTheme="majorHAnsi"/>
          <w:color w:val="000000"/>
          <w:sz w:val="24"/>
          <w:szCs w:val="24"/>
        </w:rPr>
        <w:br w:type="page"/>
      </w: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 w:asciiTheme="majorHAnsi" w:hAnsiTheme="majorHAnsi"/>
          <w:b/>
          <w:bCs/>
          <w:sz w:val="24"/>
          <w:szCs w:val="24"/>
        </w:rPr>
      </w:pP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br w:type="textWrapping"/>
      </w:r>
      <w:r>
        <w:rPr>
          <w:rFonts w:eastAsia="Times New Roman" w:cs="Times New Roman" w:asciiTheme="majorHAnsi" w:hAnsiTheme="majorHAnsi"/>
          <w:b/>
          <w:bCs/>
          <w:sz w:val="24"/>
          <w:szCs w:val="24"/>
        </w:rPr>
        <w:t>PENUTUP</w:t>
      </w:r>
    </w:p>
    <w:p>
      <w:pPr>
        <w:spacing w:before="100" w:beforeAutospacing="1" w:after="100" w:afterAutospacing="1" w:line="240" w:lineRule="auto"/>
        <w:jc w:val="center"/>
        <w:rPr>
          <w:rFonts w:eastAsia="Times New Roman" w:cs="Times New Roman" w:asciiTheme="majorHAnsi" w:hAnsiTheme="majorHAnsi"/>
          <w:sz w:val="24"/>
          <w:szCs w:val="24"/>
        </w:rPr>
      </w:pPr>
    </w:p>
    <w:p>
      <w:pPr>
        <w:pStyle w:val="12"/>
        <w:numPr>
          <w:ilvl w:val="0"/>
          <w:numId w:val="6"/>
        </w:numPr>
        <w:spacing w:after="0" w:line="360" w:lineRule="auto"/>
        <w:ind w:left="426"/>
        <w:jc w:val="both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KESIMPULAN</w:t>
      </w:r>
    </w:p>
    <w:p>
      <w:pPr>
        <w:pStyle w:val="12"/>
        <w:spacing w:after="0" w:line="360" w:lineRule="auto"/>
        <w:ind w:left="426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Penilaian Kinerja Puskesmas Sungai Kapih sebagai dokumen penilaian pencapaian mutu dan kinerja, dari uraian diatas dapat disimpulkan sebagai berikut;</w:t>
      </w:r>
    </w:p>
    <w:p>
      <w:pPr>
        <w:pStyle w:val="12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Pelaksanaan kegiatan dan pelayanan di tahun 2022  belum maksimal .</w:t>
      </w:r>
    </w:p>
    <w:p>
      <w:pPr>
        <w:pStyle w:val="12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Kegiatan dan pelayanan ada yang belum terlaksana sama sekali, PKP ini akan menjadi bahan perbaikan kami selanjutnya.</w:t>
      </w:r>
    </w:p>
    <w:p>
      <w:pPr>
        <w:pStyle w:val="12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Dalam mencapai kinerja mutu tidak terlepas dari kerjasama lintas program dan lintas sektor terkait serta dukungan dari pimpinan puskesmas.</w:t>
      </w:r>
    </w:p>
    <w:p>
      <w:pPr>
        <w:pStyle w:val="12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 w:asciiTheme="majorHAnsi" w:hAnsiTheme="majorHAnsi"/>
          <w:color w:val="FF0000"/>
          <w:sz w:val="24"/>
          <w:szCs w:val="24"/>
        </w:rPr>
      </w:pPr>
      <w:r>
        <w:rPr>
          <w:rFonts w:eastAsia="Times New Roman" w:cs="Times New Roman" w:asciiTheme="majorHAnsi" w:hAnsiTheme="majorHAnsi"/>
          <w:color w:val="FF0000"/>
          <w:sz w:val="24"/>
          <w:szCs w:val="24"/>
        </w:rPr>
        <w:t>Dari hasil penilaian didapatkan bahwa hasil peningkatan mutu, UKM dan UKP di puskesmas Sungai Kapih adalah rendah, untuk  hasil kinerja administrsi manajemen  adalah sedang.</w:t>
      </w:r>
    </w:p>
    <w:p>
      <w:p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</w:p>
    <w:p>
      <w:pPr>
        <w:pStyle w:val="12"/>
        <w:numPr>
          <w:ilvl w:val="0"/>
          <w:numId w:val="6"/>
        </w:numPr>
        <w:spacing w:after="0" w:line="360" w:lineRule="auto"/>
        <w:ind w:left="426"/>
        <w:jc w:val="both"/>
        <w:rPr>
          <w:rFonts w:eastAsia="Times New Roman" w:cs="Times New Roman" w:asciiTheme="majorHAnsi" w:hAnsiTheme="majorHAnsi"/>
          <w:b/>
          <w:sz w:val="24"/>
          <w:szCs w:val="24"/>
        </w:rPr>
      </w:pPr>
      <w:r>
        <w:rPr>
          <w:rFonts w:eastAsia="Times New Roman" w:cs="Times New Roman" w:asciiTheme="majorHAnsi" w:hAnsiTheme="majorHAnsi"/>
          <w:b/>
          <w:sz w:val="24"/>
          <w:szCs w:val="24"/>
        </w:rPr>
        <w:t>SARAN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Komunikasi dan kerjasama pemegang program serta pimpinan puskesmas seharusnya bisa lebih baik.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Sebaiknya di lakukan monitoring dan analisa masalah serta solusi pemecahan masalah dan evaluasi harus berjalan.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Meningkatkan kerjasama lintas program dan lintas sektor serta berbagai upaya untuk lebih meningkatkan partisipasi masyarakat.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Program yang belum berjalan sebaiknya dievaluasi dan tindak lanjut kendala yang ditemui untuk ditemukan solusinya.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Meningkatkan mutu pelayanan dengan melakukan perbaikan mutu di setiap indicator.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>Dilakukan bimbingan teknis bagi para penanguung jawab program dan pengelola program oleh Tim Managemen Puskesmas.</w:t>
      </w:r>
    </w:p>
    <w:p>
      <w:pPr>
        <w:pStyle w:val="12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 w:asciiTheme="majorHAnsi" w:hAnsiTheme="majorHAnsi"/>
          <w:sz w:val="24"/>
          <w:szCs w:val="24"/>
        </w:rPr>
      </w:pPr>
      <w:r>
        <w:rPr>
          <w:rFonts w:eastAsia="Times New Roman" w:cs="Times New Roman" w:asciiTheme="majorHAnsi" w:hAnsiTheme="majorHAnsi"/>
          <w:sz w:val="24"/>
          <w:szCs w:val="24"/>
        </w:rPr>
        <w:t xml:space="preserve">Supervisi berkala dari Dinas Kesehatan Kota Samarinda </w:t>
      </w:r>
    </w:p>
    <w:p>
      <w:pPr>
        <w:spacing w:line="360" w:lineRule="auto"/>
        <w:ind w:left="1418" w:hanging="284"/>
        <w:contextualSpacing/>
        <w:jc w:val="both"/>
        <w:rPr>
          <w:rFonts w:eastAsia="Times New Roman" w:cs="Arial" w:asciiTheme="majorHAnsi" w:hAnsiTheme="majorHAnsi"/>
          <w:color w:val="000000"/>
          <w:sz w:val="24"/>
          <w:szCs w:val="24"/>
        </w:rPr>
      </w:pPr>
    </w:p>
    <w:sectPr>
      <w:footerReference r:id="rId5" w:type="default"/>
      <w:pgSz w:w="12240" w:h="20160"/>
      <w:pgMar w:top="2268" w:right="1701" w:bottom="1701" w:left="22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PKP (PENILAIAN KINERJA PUSKESMAS) PUSKESMAS SUNGAI KAPIH 2022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18</w:t>
    </w:r>
    <w:r>
      <w:rPr>
        <w:rFonts w:asciiTheme="majorHAnsi" w:hAnsiTheme="majorHAnsi" w:eastAsiaTheme="majorEastAsia" w:cstheme="majorBidi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B1911"/>
    <w:multiLevelType w:val="multilevel"/>
    <w:tmpl w:val="12DB1911"/>
    <w:lvl w:ilvl="0" w:tentative="0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5EDB"/>
    <w:multiLevelType w:val="multilevel"/>
    <w:tmpl w:val="1F565EDB"/>
    <w:lvl w:ilvl="0" w:tentative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4B55160"/>
    <w:multiLevelType w:val="multilevel"/>
    <w:tmpl w:val="34B55160"/>
    <w:lvl w:ilvl="0" w:tentative="0">
      <w:start w:val="1"/>
      <w:numFmt w:val="decimal"/>
      <w:lvlText w:val="%1."/>
      <w:lvlJc w:val="left"/>
      <w:pPr>
        <w:ind w:left="1353" w:hanging="360"/>
      </w:p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14231FD"/>
    <w:multiLevelType w:val="multilevel"/>
    <w:tmpl w:val="414231F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1798"/>
    <w:multiLevelType w:val="multilevel"/>
    <w:tmpl w:val="4E1B1798"/>
    <w:lvl w:ilvl="0" w:tentative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910E03"/>
    <w:multiLevelType w:val="multilevel"/>
    <w:tmpl w:val="75910E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Cambria" w:hAnsi="Cambria"/>
        <w:b w:val="0"/>
        <w:i w:val="0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7C063E2"/>
    <w:multiLevelType w:val="multilevel"/>
    <w:tmpl w:val="77C063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5181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F020B"/>
    <w:multiLevelType w:val="multilevel"/>
    <w:tmpl w:val="7FCF020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B3"/>
    <w:rsid w:val="00061F32"/>
    <w:rsid w:val="000C11DE"/>
    <w:rsid w:val="001002BA"/>
    <w:rsid w:val="00107EF9"/>
    <w:rsid w:val="00137C42"/>
    <w:rsid w:val="001529C1"/>
    <w:rsid w:val="00161599"/>
    <w:rsid w:val="00190349"/>
    <w:rsid w:val="00191648"/>
    <w:rsid w:val="0019594C"/>
    <w:rsid w:val="0022157A"/>
    <w:rsid w:val="00277059"/>
    <w:rsid w:val="00282D55"/>
    <w:rsid w:val="00284C3D"/>
    <w:rsid w:val="00292754"/>
    <w:rsid w:val="002A0016"/>
    <w:rsid w:val="002B6071"/>
    <w:rsid w:val="002E09D3"/>
    <w:rsid w:val="00312D1D"/>
    <w:rsid w:val="003131E8"/>
    <w:rsid w:val="003135EF"/>
    <w:rsid w:val="003359C6"/>
    <w:rsid w:val="00345D01"/>
    <w:rsid w:val="00352DE8"/>
    <w:rsid w:val="00354653"/>
    <w:rsid w:val="003655E6"/>
    <w:rsid w:val="003875A1"/>
    <w:rsid w:val="003A7CFB"/>
    <w:rsid w:val="003C3B8F"/>
    <w:rsid w:val="003C53D5"/>
    <w:rsid w:val="003D447D"/>
    <w:rsid w:val="004031CB"/>
    <w:rsid w:val="004502B3"/>
    <w:rsid w:val="004A21C0"/>
    <w:rsid w:val="004B01E5"/>
    <w:rsid w:val="004D29B1"/>
    <w:rsid w:val="004E3137"/>
    <w:rsid w:val="00512C6E"/>
    <w:rsid w:val="00521B18"/>
    <w:rsid w:val="00537524"/>
    <w:rsid w:val="00583ED2"/>
    <w:rsid w:val="00595176"/>
    <w:rsid w:val="005A6F06"/>
    <w:rsid w:val="005A7AE1"/>
    <w:rsid w:val="005B47A1"/>
    <w:rsid w:val="005D6BAB"/>
    <w:rsid w:val="005F5858"/>
    <w:rsid w:val="006469D3"/>
    <w:rsid w:val="006650A1"/>
    <w:rsid w:val="00687638"/>
    <w:rsid w:val="006B7754"/>
    <w:rsid w:val="006C11BE"/>
    <w:rsid w:val="006D26EA"/>
    <w:rsid w:val="006F044C"/>
    <w:rsid w:val="006F3766"/>
    <w:rsid w:val="00730A02"/>
    <w:rsid w:val="00745D08"/>
    <w:rsid w:val="00750C61"/>
    <w:rsid w:val="00761A62"/>
    <w:rsid w:val="007C16FA"/>
    <w:rsid w:val="007D73F9"/>
    <w:rsid w:val="00827756"/>
    <w:rsid w:val="00861FD2"/>
    <w:rsid w:val="008A6A2F"/>
    <w:rsid w:val="008D7AA4"/>
    <w:rsid w:val="008F366B"/>
    <w:rsid w:val="008F5BE9"/>
    <w:rsid w:val="008F7AD5"/>
    <w:rsid w:val="00952BD7"/>
    <w:rsid w:val="00962AB1"/>
    <w:rsid w:val="009936C1"/>
    <w:rsid w:val="009D381B"/>
    <w:rsid w:val="009D39F0"/>
    <w:rsid w:val="00A17C58"/>
    <w:rsid w:val="00A32398"/>
    <w:rsid w:val="00AB47C6"/>
    <w:rsid w:val="00AD57EC"/>
    <w:rsid w:val="00B03559"/>
    <w:rsid w:val="00B16634"/>
    <w:rsid w:val="00B26927"/>
    <w:rsid w:val="00B41BFE"/>
    <w:rsid w:val="00B76CAB"/>
    <w:rsid w:val="00B8339A"/>
    <w:rsid w:val="00B96C2C"/>
    <w:rsid w:val="00BB6EF6"/>
    <w:rsid w:val="00BD3D9B"/>
    <w:rsid w:val="00BE3CFC"/>
    <w:rsid w:val="00BF4294"/>
    <w:rsid w:val="00C60A3A"/>
    <w:rsid w:val="00CC481C"/>
    <w:rsid w:val="00D06F84"/>
    <w:rsid w:val="00D625B6"/>
    <w:rsid w:val="00D82AE2"/>
    <w:rsid w:val="00D86560"/>
    <w:rsid w:val="00DD4C42"/>
    <w:rsid w:val="00DE075D"/>
    <w:rsid w:val="00DE5ED7"/>
    <w:rsid w:val="00E20BA6"/>
    <w:rsid w:val="00E43201"/>
    <w:rsid w:val="00E61C47"/>
    <w:rsid w:val="00E84A91"/>
    <w:rsid w:val="00E8715F"/>
    <w:rsid w:val="00E8742A"/>
    <w:rsid w:val="00EA7230"/>
    <w:rsid w:val="00ED4F33"/>
    <w:rsid w:val="00F04A56"/>
    <w:rsid w:val="00F31A25"/>
    <w:rsid w:val="00F40B32"/>
    <w:rsid w:val="00F6206E"/>
    <w:rsid w:val="00F95526"/>
    <w:rsid w:val="00FF2799"/>
    <w:rsid w:val="17860E79"/>
    <w:rsid w:val="22C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a"/>
    <w:basedOn w:val="2"/>
    <w:qFormat/>
    <w:uiPriority w:val="0"/>
  </w:style>
  <w:style w:type="paragraph" w:styleId="12">
    <w:name w:val="List Paragraph"/>
    <w:basedOn w:val="1"/>
    <w:link w:val="15"/>
    <w:qFormat/>
    <w:uiPriority w:val="34"/>
    <w:pPr>
      <w:ind w:left="720"/>
      <w:contextualSpacing/>
    </w:pPr>
    <w:rPr>
      <w:rFonts w:eastAsiaTheme="minorEastAsia"/>
    </w:rPr>
  </w:style>
  <w:style w:type="paragraph" w:customStyle="1" w:styleId="13">
    <w:name w:val="List Paragraph1"/>
    <w:basedOn w:val="1"/>
    <w:qFormat/>
    <w:uiPriority w:val="34"/>
    <w:pPr>
      <w:ind w:left="720"/>
    </w:pPr>
    <w:rPr>
      <w:rFonts w:ascii="Times New Roman" w:hAnsi="Times New Roman" w:eastAsia="Times New Roman" w:cs="Times New Roman"/>
      <w:sz w:val="24"/>
      <w:szCs w:val="24"/>
    </w:rPr>
  </w:style>
  <w:style w:type="table" w:customStyle="1" w:styleId="14">
    <w:name w:val="Light Grid - Accent 11"/>
    <w:basedOn w:val="3"/>
    <w:qFormat/>
    <w:uiPriority w:val="62"/>
    <w:pPr>
      <w:spacing w:after="0" w:line="240" w:lineRule="auto"/>
    </w:pPr>
    <w:rPr>
      <w:rFonts w:eastAsiaTheme="minorEastAsia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character" w:customStyle="1" w:styleId="15">
    <w:name w:val="List Paragraph Char"/>
    <w:link w:val="12"/>
    <w:qFormat/>
    <w:locked/>
    <w:uiPriority w:val="34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Sheet1!$A$2:$A$7</c:f>
              <c:strCache>
                <c:ptCount val="6"/>
                <c:pt idx="0">
                  <c:v>MANAJEMEN UMUM</c:v>
                </c:pt>
                <c:pt idx="1">
                  <c:v>MANAJEMEN PERALATAN DAN SARANA PRASARANA</c:v>
                </c:pt>
                <c:pt idx="2">
                  <c:v>MANAJEMEN KEUANGAN</c:v>
                </c:pt>
                <c:pt idx="3">
                  <c:v>MANAJEMEN SUMBER DAYA MANUSIA</c:v>
                </c:pt>
                <c:pt idx="4">
                  <c:v>MANAJEMEN PELAYANAN KEFARMASIAN (PENGELOLAAN OBAT, VAKSIN, REAGEN DAN BAHAN HABIS PAKAI)</c:v>
                </c:pt>
                <c:pt idx="5">
                  <c:v>MANAJEMEN PENGELOLAAN DATA DAN INFORMASI DI PUSKESMAS (PUSKESMAS SEBAGAI BANK DATA)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CAPAIAN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Sheet1!$A$2:$A$7</c:f>
              <c:strCache>
                <c:ptCount val="6"/>
                <c:pt idx="0">
                  <c:v>MANAJEMEN UMUM</c:v>
                </c:pt>
                <c:pt idx="1">
                  <c:v>MANAJEMEN PERALATAN DAN SARANA PRASARANA</c:v>
                </c:pt>
                <c:pt idx="2">
                  <c:v>MANAJEMEN KEUANGAN</c:v>
                </c:pt>
                <c:pt idx="3">
                  <c:v>MANAJEMEN SUMBER DAYA MANUSIA</c:v>
                </c:pt>
                <c:pt idx="4">
                  <c:v>MANAJEMEN PELAYANAN KEFARMASIAN (PENGELOLAAN OBAT, VAKSIN, REAGEN DAN BAHAN HABIS PAKAI)</c:v>
                </c:pt>
                <c:pt idx="5">
                  <c:v>MANAJEMEN PENGELOLAAN DATA DAN INFORMASI DI PUSKESMAS (PUSKESMAS SEBAGAI BANK DATA)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6.7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998848"/>
        <c:axId val="130000384"/>
      </c:radarChart>
      <c:catAx>
        <c:axId val="12999884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0000384"/>
        <c:crosses val="autoZero"/>
        <c:auto val="1"/>
        <c:lblAlgn val="ctr"/>
        <c:lblOffset val="100"/>
        <c:noMultiLvlLbl val="0"/>
      </c:catAx>
      <c:valAx>
        <c:axId val="1300003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999884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Sheet1!$A$2:$A$7</c:f>
              <c:strCache>
                <c:ptCount val="6"/>
                <c:pt idx="0">
                  <c:v>PROMKES</c:v>
                </c:pt>
                <c:pt idx="1">
                  <c:v>KESLING</c:v>
                </c:pt>
                <c:pt idx="2">
                  <c:v>P2P</c:v>
                </c:pt>
                <c:pt idx="3">
                  <c:v>GIZI</c:v>
                </c:pt>
                <c:pt idx="4">
                  <c:v>PERKESMAS</c:v>
                </c:pt>
                <c:pt idx="5">
                  <c:v>UKM PENGEMBANGAN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78</c:v>
                </c:pt>
                <c:pt idx="1">
                  <c:v>67.5</c:v>
                </c:pt>
                <c:pt idx="2">
                  <c:v>91.7</c:v>
                </c:pt>
                <c:pt idx="3">
                  <c:v>100</c:v>
                </c:pt>
                <c:pt idx="4">
                  <c:v>93</c:v>
                </c:pt>
                <c:pt idx="5">
                  <c:v>86.67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CAPAIAN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Sheet1!$A$2:$A$7</c:f>
              <c:strCache>
                <c:ptCount val="6"/>
                <c:pt idx="0">
                  <c:v>PROMKES</c:v>
                </c:pt>
                <c:pt idx="1">
                  <c:v>KESLING</c:v>
                </c:pt>
                <c:pt idx="2">
                  <c:v>P2P</c:v>
                </c:pt>
                <c:pt idx="3">
                  <c:v>GIZI</c:v>
                </c:pt>
                <c:pt idx="4">
                  <c:v>PERKESMAS</c:v>
                </c:pt>
                <c:pt idx="5">
                  <c:v>UKM PENGEMBANGAN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75.6</c:v>
                </c:pt>
                <c:pt idx="1">
                  <c:v>66.6</c:v>
                </c:pt>
                <c:pt idx="2">
                  <c:v>83.7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858048"/>
        <c:axId val="135859584"/>
      </c:radarChart>
      <c:catAx>
        <c:axId val="13585804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5859584"/>
        <c:crosses val="autoZero"/>
        <c:auto val="1"/>
        <c:lblAlgn val="ctr"/>
        <c:lblOffset val="100"/>
        <c:noMultiLvlLbl val="0"/>
      </c:catAx>
      <c:valAx>
        <c:axId val="1358595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585804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Kinerja Sasaran Keselamatan Pasien</c:v>
                </c:pt>
                <c:pt idx="1">
                  <c:v>KINERJA PPI</c:v>
                </c:pt>
                <c:pt idx="2">
                  <c:v>UKP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CAPAIAN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Kinerja Sasaran Keselamatan Pasien</c:v>
                </c:pt>
                <c:pt idx="1">
                  <c:v>KINERJA PPI</c:v>
                </c:pt>
                <c:pt idx="2">
                  <c:v>UKP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45.8</c:v>
                </c:pt>
                <c:pt idx="1">
                  <c:v>28.4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884800"/>
        <c:axId val="135886336"/>
      </c:radarChart>
      <c:catAx>
        <c:axId val="135884800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5886336"/>
        <c:crosses val="autoZero"/>
        <c:auto val="1"/>
        <c:lblAlgn val="ctr"/>
        <c:lblOffset val="100"/>
        <c:noMultiLvlLbl val="0"/>
      </c:catAx>
      <c:valAx>
        <c:axId val="13588633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588480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3579</Words>
  <Characters>20402</Characters>
  <Lines>170</Lines>
  <Paragraphs>47</Paragraphs>
  <TotalTime>215</TotalTime>
  <ScaleCrop>false</ScaleCrop>
  <LinksUpToDate>false</LinksUpToDate>
  <CharactersWithSpaces>23934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2023-01-14T04:56:00Z</dcterms:created>
  <dc:creator>MyBook14G</dc:creator>
  <cp:lastModifiedBy>Dina Kartika</cp:lastModifiedBy>
  <dcterms:modified xsi:type="dcterms:W3CDTF">2023-08-23T07:51:11Z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E5BC6395AB4248B79579CAD834A5520E_13</vt:lpwstr>
  </property>
</Properties>
</file>